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300"/>
      </w:pPr>
      <w:r>
        <w:t xml:space="preserve"/>
      </w:r>
    </w:p>
    <w:p>
      <w:pPr>
        <w:spacing w:after="80"/>
        <w:jc w:val="center"/>
      </w:pPr>
      <w:r>
        <w:rPr>
          <w:rFonts w:ascii="Georgia" w:cs="Georgia" w:eastAsia="Georgia" w:hAnsi="Georgia"/>
          <w:color w:val="1C1814"/>
          <w:spacing w:val="80"/>
          <w:sz w:val="32"/>
          <w:szCs w:val="32"/>
        </w:rPr>
        <w:t xml:space="preserve">ABARCA ENTERTAINMENT LLC</w:t>
      </w:r>
    </w:p>
    <w:p>
      <w:pPr>
        <w:spacing w:after="80"/>
        <w:jc w:val="center"/>
      </w:pPr>
      <w:r>
        <w:rPr>
          <w:rFonts w:ascii="Georgia" w:cs="Georgia" w:eastAsia="Georgia" w:hAnsi="Georgia"/>
          <w:i/>
          <w:iCs/>
          <w:color w:val="A8852A"/>
          <w:sz w:val="28"/>
          <w:szCs w:val="28"/>
        </w:rPr>
        <w:t xml:space="preserve">Host Agreement</w:t>
      </w:r>
    </w:p>
    <w:p>
      <w:pPr>
        <w:spacing w:after="60"/>
        <w:jc w:val="center"/>
      </w:pPr>
      <w:r>
        <w:rPr>
          <w:rFonts w:ascii="Georgia" w:cs="Georgia" w:eastAsia="Georgia" w:hAnsi="Georgia"/>
          <w:i/>
          <w:iCs/>
          <w:color w:val="7A7068"/>
          <w:sz w:val="18"/>
          <w:szCs w:val="18"/>
        </w:rPr>
        <w:t xml:space="preserve">Video-First Conversation Series  ·  Abarca Entertainment Podcast Division</w:t>
      </w:r>
    </w:p>
    <w:p>
      <w:pPr>
        <w:spacing w:after="400"/>
        <w:jc w:val="center"/>
      </w:pPr>
      <w:r>
        <w:rPr>
          <w:rFonts w:ascii="Georgia" w:cs="Georgia" w:eastAsia="Georgia" w:hAnsi="Georgia"/>
          <w:i/>
          <w:iCs/>
          <w:color w:val="8B5A10"/>
          <w:sz w:val="16"/>
          <w:szCs w:val="16"/>
        </w:rPr>
        <w:t xml:space="preserve">For Review  —  Pending Execution</w:t>
      </w:r>
    </w:p>
    <w:p>
      <w:pPr>
        <w:spacing w:after="0" w:before="200"/>
      </w:pPr>
      <w:r>
        <w:t xml:space="preserve"/>
      </w:r>
    </w:p>
    <w:p>
      <w:pPr>
        <w:pBdr>
          <w:bottom w:val="single" w:color="A8852A" w:sz="8" w:space="4"/>
        </w:pBdr>
        <w:spacing w:after="160" w:before="400"/>
      </w:pPr>
      <w:r>
        <w:rPr>
          <w:rFonts w:ascii="Georgia" w:cs="Georgia" w:eastAsia="Georgia" w:hAnsi="Georgia"/>
          <w:b w:val="false"/>
          <w:bCs w:val="false"/>
          <w:i/>
          <w:iCs/>
          <w:color w:val="1C1814"/>
          <w:sz w:val="28"/>
          <w:szCs w:val="28"/>
        </w:rPr>
        <w:t xml:space="preserve">I.  Parties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Executive Producer</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Abarca Entertainment LLC</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EP Contact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Raul Abarca  ·  raul@raulabarca.com</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Host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Jennifer Coffey</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Host Representative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To be designated</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Reports To</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Executive Producer — Abarca Entertainment LLC</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Effective Date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__________________</w:t>
            </w:r>
          </w:p>
        </w:tc>
      </w:tr>
    </w:tbl>
    <w:p>
      <w:pPr>
        <w:spacing w:after="0" w:before="200"/>
      </w:pPr>
      <w:r>
        <w:t xml:space="preserve"/>
      </w:r>
    </w:p>
    <w:p>
      <w:pPr>
        <w:pBdr>
          <w:bottom w:val="single" w:color="A8852A" w:sz="8" w:space="4"/>
        </w:pBdr>
        <w:spacing w:after="160" w:before="400"/>
      </w:pPr>
      <w:r>
        <w:rPr>
          <w:rFonts w:ascii="Georgia" w:cs="Georgia" w:eastAsia="Georgia" w:hAnsi="Georgia"/>
          <w:b w:val="false"/>
          <w:bCs w:val="false"/>
          <w:i/>
          <w:iCs/>
          <w:color w:val="1C1814"/>
          <w:sz w:val="28"/>
          <w:szCs w:val="28"/>
        </w:rPr>
        <w:t xml:space="preserve">II.  Show Overview</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Show Title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A Conversation with Jennifer Coffey</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Format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Video-first intimate interview series — shot on location</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Audience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Women 38+ and the people in their orbit — navigating meaningful transitions in career, identity, and purpose. No ceiling on age.</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Concept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Honest, unscripted conversations with women at a turning point — recorded on location where their life is actually happening. Not self-help. Not inspirational content. Real conversations, produced at cinematic quality.</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Signature Question</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“What did you finally decide to stop waiting for?”</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Episode Length</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40–55 minutes full episodes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Clip Output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3–5 short-form assets per episode (Reels, Shorts, YouTube clips)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Recording Schedule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2 recording Wednesdays per month · 2 episodes per session · 4 episodes per month total</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Primary Platform</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YouTube (video-first)</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Audio Distribution</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Spotify, Apple Podcasts via RSS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Production</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On-location throughout Los Angeles — Sony A7 IV, Blackmagic, Godox professional lighting, cinematic post production</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Host Travel</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Abarca Entertainment covers round-trip Delta airfare (ATL–LAX) and one night hotel accommodation per recording trip — deducted from gross revenue before net calculation</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Launch Target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Q3 2026</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QVC</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Host continues her role with QVC alongside this podcast commitment.</w:t>
            </w:r>
          </w:p>
        </w:tc>
      </w:tr>
    </w:tbl>
    <w:p>
      <w:pPr>
        <w:spacing w:after="0" w:before="200"/>
      </w:pPr>
      <w:r>
        <w:t xml:space="preserve"/>
      </w:r>
    </w:p>
    <w:p>
      <w:pPr>
        <w:pBdr>
          <w:bottom w:val="single" w:color="A8852A" w:sz="8" w:space="4"/>
        </w:pBdr>
        <w:spacing w:after="160" w:before="400"/>
      </w:pPr>
      <w:r>
        <w:rPr>
          <w:rFonts w:ascii="Georgia" w:cs="Georgia" w:eastAsia="Georgia" w:hAnsi="Georgia"/>
          <w:b w:val="false"/>
          <w:bCs w:val="false"/>
          <w:i/>
          <w:iCs/>
          <w:color w:val="1C1814"/>
          <w:sz w:val="28"/>
          <w:szCs w:val="28"/>
        </w:rPr>
        <w:t xml:space="preserve">III.  Term &amp; Renewal</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Initial Term</w:t>
            </w:r>
          </w:p>
        </w:tc>
        <w:tc>
          <w:tcPr>
            <w:tcW w:type="dxa" w:w="576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color w:val="5A4010"/>
                <w:sz w:val="20"/>
                <w:szCs w:val="20"/>
              </w:rPr>
              <w:t xml:space="preserve">24 months from first episode air date</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Auto-Renewal</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12-month increments unless either party provides 60 days written notice prior to renewal date</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AE Termination for Cause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Immediate — no penalty to Abarca Entertainment LLC</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Cause Includes</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3+ consecutive missed episodes without prior written approval, exclusivity breach, or any material term violation</w:t>
            </w:r>
          </w:p>
        </w:tc>
      </w:tr>
    </w:tbl>
    <w:p>
      <w:pPr>
        <w:spacing w:after="0" w:before="200"/>
      </w:pPr>
      <w:r>
        <w:t xml:space="preserve"/>
      </w:r>
    </w:p>
    <w:p>
      <w:pPr>
        <w:pBdr>
          <w:bottom w:val="single" w:color="A8852A" w:sz="8" w:space="4"/>
        </w:pBdr>
        <w:spacing w:after="160" w:before="400"/>
      </w:pPr>
      <w:r>
        <w:rPr>
          <w:rFonts w:ascii="Georgia" w:cs="Georgia" w:eastAsia="Georgia" w:hAnsi="Georgia"/>
          <w:b w:val="false"/>
          <w:bCs w:val="false"/>
          <w:i/>
          <w:iCs/>
          <w:color w:val="1C1814"/>
          <w:sz w:val="28"/>
          <w:szCs w:val="28"/>
        </w:rPr>
        <w:t xml:space="preserve">IV.  Compensation</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Per-Episode Fee</w:t>
            </w:r>
          </w:p>
        </w:tc>
        <w:tc>
          <w:tcPr>
            <w:tcW w:type="dxa" w:w="576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color w:val="5A4010"/>
                <w:sz w:val="20"/>
                <w:szCs w:val="20"/>
              </w:rPr>
              <w:t xml:space="preserve">$500 per episode — guaranteed from Episode 1</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Monthly Fee Income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$2,000 per month (4 episodes × $500) — paid regardless of show revenue</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Fee Deduction</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Per-episode fees are deducted from gross revenue before net calculation</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Revenue Split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70% Abarca Entertainment LLC / 30% Host — fixed, non-negotiable</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Net Revenue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Gross income from all sources minus all documented production expenses incurred by AE</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Expense Cap</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Deductible expenses capped at 40% of gross in any given month</w:t>
            </w:r>
          </w:p>
        </w:tc>
      </w:tr>
      <w:tr>
        <w:tc>
          <w:tcPr>
            <w:tcW w:type="dxa" w:w="360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Net Floor</w:t>
            </w:r>
          </w:p>
        </w:tc>
        <w:tc>
          <w:tcPr>
            <w:tcW w:type="dxa" w:w="576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color w:val="5A4010"/>
                <w:sz w:val="20"/>
                <w:szCs w:val="20"/>
              </w:rPr>
              <w:t xml:space="preserve">$1,000 net per month before revenue split activates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Below Floor</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100% of net covers operations — Host fee still paid regardless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Payment Schedule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Monthly, within 15 days of month close</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Year 1 Fee Income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$24,000 guaranteed (4 eps × $500 × 12 months)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Year 2 Total (Forecast)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$24,000 guaranteed fee + projected $41,000–$71,000 split income</w:t>
            </w:r>
          </w:p>
        </w:tc>
      </w:tr>
    </w:tbl>
    <w:p>
      <w:pPr>
        <w:spacing w:after="0" w:before="80"/>
      </w:pPr>
      <w:r>
        <w:t xml:space="preserve"/>
      </w:r>
    </w:p>
    <w:p>
      <w:pPr>
        <w:spacing w:after="60" w:before="60"/>
      </w:pPr>
      <w:r>
        <w:rPr>
          <w:rFonts w:ascii="Georgia" w:cs="Georgia" w:eastAsia="Georgia" w:hAnsi="Georgia"/>
          <w:b w:val="false"/>
          <w:bCs w:val="false"/>
          <w:i/>
          <w:iCs/>
          <w:color w:val="7A7068"/>
          <w:sz w:val="22"/>
          <w:szCs w:val="22"/>
        </w:rPr>
        <w:t xml:space="preserve">All revenue projections are illustrative forecasts only. They do not constitute a financial guarantee or commitment by either party.</w:t>
      </w:r>
    </w:p>
    <w:p>
      <w:pPr>
        <w:spacing w:after="0" w:before="200"/>
      </w:pPr>
      <w:r>
        <w:t xml:space="preserve"/>
      </w:r>
    </w:p>
    <w:p>
      <w:pPr>
        <w:pBdr>
          <w:bottom w:val="single" w:color="A8852A" w:sz="8" w:space="4"/>
        </w:pBdr>
        <w:spacing w:after="160" w:before="400"/>
      </w:pPr>
      <w:r>
        <w:rPr>
          <w:rFonts w:ascii="Georgia" w:cs="Georgia" w:eastAsia="Georgia" w:hAnsi="Georgia"/>
          <w:b w:val="false"/>
          <w:bCs w:val="false"/>
          <w:i/>
          <w:iCs/>
          <w:color w:val="1C1814"/>
          <w:sz w:val="28"/>
          <w:szCs w:val="28"/>
        </w:rPr>
        <w:t xml:space="preserve">V.  Intellectual Property</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Ownership</w:t>
            </w:r>
          </w:p>
        </w:tc>
        <w:tc>
          <w:tcPr>
            <w:tcW w:type="dxa" w:w="576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color w:val="5A4010"/>
                <w:sz w:val="20"/>
                <w:szCs w:val="20"/>
              </w:rPr>
              <w:t xml:space="preserve">100% Abarca Entertainment LLC — in perpetuity, universe-wide</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Work-for-Hire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All results and proceeds of Host’s services — including all ideas, characterizations, material, and contributions of any kind — are works made-for-hire for Producer and/or assigned to Producer</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Copyright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Producer is and shall be deemed the author and exclusive owner of all rights comprised in the copyright thereof throughout the world</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Exploitation</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Producer shall have the right to exploit any and all of the foregoing in any and all media, now known or hereafter devised, throughout the universe, in perpetuity, in all languages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Name &amp; Likeness</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Producer has the non-exclusive right to use Host’s name, likeness, and biography in connection with the show and all promotion, advertising, and exploitation thereof</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No Claim on Exit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Host holds no IP claim of any kind upon departure — no reversion, no residual rights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Merchandising</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AE retains 100% ownership of all show-branded merchandise. In recognition of Host’s name being incorporated in the show title, Host receives 5% of net merchandising revenue as a name-and-likeness licensing fee — paid quarterly alongside regular revenue statements.</w:t>
            </w:r>
          </w:p>
        </w:tc>
      </w:tr>
    </w:tbl>
    <w:p>
      <w:pPr>
        <w:spacing w:after="0" w:before="200"/>
      </w:pPr>
      <w:r>
        <w:t xml:space="preserve"/>
      </w:r>
    </w:p>
    <w:p>
      <w:pPr>
        <w:pBdr>
          <w:bottom w:val="single" w:color="A8852A" w:sz="8" w:space="4"/>
        </w:pBdr>
        <w:spacing w:after="160" w:before="400"/>
      </w:pPr>
      <w:r>
        <w:rPr>
          <w:rFonts w:ascii="Georgia" w:cs="Georgia" w:eastAsia="Georgia" w:hAnsi="Georgia"/>
          <w:b w:val="false"/>
          <w:bCs w:val="false"/>
          <w:i/>
          <w:iCs/>
          <w:color w:val="1C1814"/>
          <w:sz w:val="28"/>
          <w:szCs w:val="28"/>
        </w:rPr>
        <w:t xml:space="preserve">VI.  Host Obligations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On-Camera Presence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Every episode — no exceptions without prior written approval from EP</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Clip Promotion</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Minimum 1 clip posted to Host’s own channels per episode within 48 hours of publication</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Guest Outreach</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Good-faith effort to suggest guest leads each month — no minimum quota</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Brand Alignment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Public conduct consistent with show identity at all times during the term</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Exclusivity</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No new podcast or video series as host or co-host that directly competes with this show in format and audience during the term. Existing QVC obligations and current content creation work are expressly excluded from this restriction.</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Travel — Local</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Host’s own cost for recording locations within greater Los Angeles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Travel — Events</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Production expense for travel required for brand activations, live events, or remote recordings outside greater Los Angeles — deducted from gross before split</w:t>
            </w:r>
          </w:p>
        </w:tc>
      </w:tr>
    </w:tbl>
    <w:p>
      <w:pPr>
        <w:spacing w:after="0" w:before="200"/>
      </w:pPr>
      <w:r>
        <w:t xml:space="preserve"/>
      </w:r>
    </w:p>
    <w:p>
      <w:pPr>
        <w:pBdr>
          <w:bottom w:val="single" w:color="A8852A" w:sz="8" w:space="4"/>
        </w:pBdr>
        <w:spacing w:after="160" w:before="400"/>
      </w:pPr>
      <w:r>
        <w:rPr>
          <w:rFonts w:ascii="Georgia" w:cs="Georgia" w:eastAsia="Georgia" w:hAnsi="Georgia"/>
          <w:b w:val="false"/>
          <w:bCs w:val="false"/>
          <w:i/>
          <w:iCs/>
          <w:color w:val="1C1814"/>
          <w:sz w:val="28"/>
          <w:szCs w:val="28"/>
        </w:rPr>
        <w:t xml:space="preserve">VII.  Early Exit &amp; Termination</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Early Exit — Revenue</w:t>
            </w:r>
          </w:p>
        </w:tc>
        <w:tc>
          <w:tcPr>
            <w:tcW w:type="dxa" w:w="576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color w:val="5A4010"/>
                <w:sz w:val="20"/>
                <w:szCs w:val="20"/>
              </w:rPr>
              <w:t xml:space="preserve">Host forfeits 6 months of future Host share to AE — accrues to Abarca Entertainment LLC for 6 months following departure date</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Early Exit — Brand</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Immediate full lockout from show name, format, and likeness in connection with the show or any derivative works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Post-Exit Non-Compete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6 months from departure — Host may not appear as host or co-host on any new competing podcast or video series in the same genre and format</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Host’s Remedies</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Limited to an action at law for damages only. Host may not terminate or rescind this Agreement, terminate any grant of rights, or enjoin or interfere with the production, distribution, or exploitation of the show or any derivative works. Host expressly waives all injunctive or other equitable relief.</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Accrued Earnings</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Any earned but unpaid Host share through departure date is paid within 30 days of exit</w:t>
            </w:r>
          </w:p>
        </w:tc>
      </w:tr>
    </w:tbl>
    <w:p>
      <w:pPr>
        <w:spacing w:after="0" w:before="120"/>
      </w:pPr>
      <w:r>
        <w:t xml:space="preserve"/>
      </w:r>
    </w:p>
    <w:p>
      <w:pPr>
        <w:pBdr>
          <w:left w:val="single" w:color="A8852A" w:sz="10" w:space="10"/>
        </w:pBdr>
        <w:spacing w:after="80" w:before="80"/>
        <w:ind w:left="360"/>
      </w:pPr>
      <w:r>
        <w:rPr>
          <w:rFonts w:ascii="Georgia" w:cs="Georgia" w:eastAsia="Georgia" w:hAnsi="Georgia"/>
          <w:i/>
          <w:iCs/>
          <w:color w:val="7A7068"/>
          <w:sz w:val="21"/>
          <w:szCs w:val="21"/>
        </w:rPr>
        <w:t xml:space="preserve">“Upon termination for any reason, Host forfeits all claims to future revenue, brand association, and use of the show’s name, format, or likeness in connection with the show or any derivative works. Host’s revenue share for the 6-month period following departure date shall accrue to Abarca Entertainment LLC.”</w:t>
      </w:r>
    </w:p>
    <w:p>
      <w:pPr>
        <w:spacing w:after="0" w:before="200"/>
      </w:pPr>
      <w:r>
        <w:t xml:space="preserve"/>
      </w:r>
    </w:p>
    <w:p>
      <w:pPr>
        <w:pBdr>
          <w:bottom w:val="single" w:color="A8852A" w:sz="8" w:space="4"/>
        </w:pBdr>
        <w:spacing w:after="160" w:before="400"/>
      </w:pPr>
      <w:r>
        <w:rPr>
          <w:rFonts w:ascii="Georgia" w:cs="Georgia" w:eastAsia="Georgia" w:hAnsi="Georgia"/>
          <w:b w:val="false"/>
          <w:bCs w:val="false"/>
          <w:i/>
          <w:iCs/>
          <w:color w:val="1C1814"/>
          <w:sz w:val="28"/>
          <w:szCs w:val="28"/>
        </w:rPr>
        <w:t xml:space="preserve">VIII.  Audit Right</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Right to Inspect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Host has the right to inspect and audit the financial books and records of the show once per calendar year. Such inspection right applies only to records directly related to the calculation of net revenue and Host share under this agreement.</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Notice Required</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Host must provide a minimum of 30 days prior written notice before any audit or inspection.</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Conditions</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Inspection to be conducted during normal business hours, at Host's own expense, and in a manner that does not unreasonably disrupt AE's normal business operations.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Scope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Limited to records necessary to verify revenue calculations and Host share payments. Host may engage a licensed CPA or accountant at Host's own expense.</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Frequency</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No more than once per calendar year. Results are confidential and may not be disclosed to any third party.</w:t>
            </w:r>
          </w:p>
        </w:tc>
      </w:tr>
    </w:tbl>
    <w:p>
      <w:pPr>
        <w:spacing w:after="0" w:before="200"/>
      </w:pPr>
      <w:r>
        <w:t xml:space="preserve"/>
      </w:r>
    </w:p>
    <w:p>
      <w:pPr>
        <w:pBdr>
          <w:bottom w:val="single" w:color="A8852A" w:sz="8" w:space="4"/>
        </w:pBdr>
        <w:spacing w:after="160" w:before="400"/>
      </w:pPr>
      <w:r>
        <w:rPr>
          <w:rFonts w:ascii="Georgia" w:cs="Georgia" w:eastAsia="Georgia" w:hAnsi="Georgia"/>
          <w:b w:val="false"/>
          <w:bCs w:val="false"/>
          <w:i/>
          <w:iCs/>
          <w:color w:val="1C1814"/>
          <w:sz w:val="28"/>
          <w:szCs w:val="28"/>
        </w:rPr>
        <w:t xml:space="preserve">IX.  Host Termination Rights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Host Right to Terminate</w:t>
            </w:r>
          </w:p>
        </w:tc>
        <w:tc>
          <w:tcPr>
            <w:tcW w:type="dxa" w:w="576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color w:val="5A4010"/>
                <w:sz w:val="20"/>
                <w:szCs w:val="20"/>
              </w:rPr>
              <w:t xml:space="preserve">Host may terminate this agreement upon written notice to AE in the following limited circumstances only:</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Trigger 1 — Non-Payment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AE fails to remit any undisputed payment due to Host within 15 days of the applicable due date, and such failure remains uncured for 30 days following Host’s written notice to AE specifying the payment default.</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Trigger 2 — Material Breach</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AE commits a material breach of this agreement other than non-payment, and such breach remains uncured for 30 days following Host’s written notice to AE specifically describing the breach.</w:t>
            </w:r>
          </w:p>
        </w:tc>
      </w:tr>
      <w:tr>
        <w:tc>
          <w:tcPr>
            <w:tcW w:type="dxa" w:w="360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Effect of Host Termination for AE Breach</w:t>
            </w:r>
          </w:p>
        </w:tc>
        <w:tc>
          <w:tcPr>
            <w:tcW w:type="dxa" w:w="5760"/>
            <w:tcBorders>
              <w:top w:val="single" w:color="C8BFA8" w:sz="1"/>
              <w:left w:val="single" w:color="C8BFA8" w:sz="1"/>
              <w:bottom w:val="single" w:color="C8BFA8" w:sz="1"/>
              <w:right w:val="single" w:color="C8BFA8" w:sz="1"/>
            </w:tcBorders>
            <w:shd w:fill="EDE8DE" w:val="clear"/>
            <w:tcMar>
              <w:top w:type="dxa" w:w="80"/>
              <w:left w:type="dxa" w:w="160"/>
              <w:bottom w:type="dxa" w:w="80"/>
              <w:right w:type="dxa" w:w="160"/>
            </w:tcMar>
          </w:tcPr>
          <w:p>
            <w:r>
              <w:rPr>
                <w:rFonts w:ascii="Georgia" w:cs="Georgia" w:eastAsia="Georgia" w:hAnsi="Georgia"/>
                <w:color w:val="5A4010"/>
                <w:sz w:val="20"/>
                <w:szCs w:val="20"/>
              </w:rPr>
              <w:t xml:space="preserve">If Host terminates under this section due to AE’s uncured material breach, the 6-month revenue forfeiture and post-exit non-compete provisions shall not apply to Host. All IP ownership, brand lockout, and other protections in AE’s favor remain fully in effect.</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Dispute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AE has the right to contest any claimed breach or cure in good faith. If AE contests in writing within the cure period, the termination right is suspended pending resolution by the dispute process outlined in Section XI of this agreement.</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Limitation</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Host’s termination right is strictly limited to these defined triggers. It does not extend to dissatisfaction with revenue performance, creative direction, or any other aspect of the show’s operation.</w:t>
            </w:r>
          </w:p>
        </w:tc>
      </w:tr>
    </w:tbl>
    <w:p>
      <w:pPr>
        <w:spacing w:after="0" w:before="200"/>
      </w:pPr>
      <w:r>
        <w:t xml:space="preserve"/>
      </w:r>
    </w:p>
    <w:p>
      <w:pPr>
        <w:pBdr>
          <w:bottom w:val="single" w:color="A8852A" w:sz="8" w:space="4"/>
        </w:pBdr>
        <w:spacing w:after="160" w:before="400"/>
      </w:pPr>
      <w:r>
        <w:rPr>
          <w:rFonts w:ascii="Georgia" w:cs="Georgia" w:eastAsia="Georgia" w:hAnsi="Georgia"/>
          <w:b w:val="false"/>
          <w:bCs w:val="false"/>
          <w:i/>
          <w:iCs/>
          <w:color w:val="1C1814"/>
          <w:sz w:val="28"/>
          <w:szCs w:val="28"/>
        </w:rPr>
        <w:t xml:space="preserve">X.  Performance Review</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6-Month Review</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Both parties review agreement terms based on verified performance. Formal written amendment required for any changes.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12-Month Review</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Full term review. Split and fee terms fixed for the initial 24-month term — no adjustment without mutual written consent.</w:t>
            </w:r>
          </w:p>
        </w:tc>
      </w:tr>
    </w:tbl>
    <w:p>
      <w:pPr>
        <w:spacing w:after="0" w:before="200"/>
      </w:pPr>
      <w:r>
        <w:t xml:space="preserve"/>
      </w:r>
    </w:p>
    <w:p>
      <w:pPr>
        <w:pBdr>
          <w:bottom w:val="single" w:color="A8852A" w:sz="8" w:space="4"/>
        </w:pBdr>
        <w:spacing w:after="160" w:before="400"/>
      </w:pPr>
      <w:r>
        <w:rPr>
          <w:rFonts w:ascii="Georgia" w:cs="Georgia" w:eastAsia="Georgia" w:hAnsi="Georgia"/>
          <w:b w:val="false"/>
          <w:bCs w:val="false"/>
          <w:i/>
          <w:iCs/>
          <w:color w:val="1C1814"/>
          <w:sz w:val="28"/>
          <w:szCs w:val="28"/>
        </w:rPr>
        <w:t xml:space="preserve">XI.  General Terms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Governing Law</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State of California</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Jurisdiction</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Federal and state courts of Los Angeles County, California</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Dispute Resolution</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Good-faith negotiation first; binding arbitration in Los Angeles County if unresolved within 30 days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Assignment — AE</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Abarca Entertainment LLC may assign this Agreement and any or all rights hereunder at any time without limitation</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Assignment — Host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Host may not assign this Agreement. Host may, on a one-time only basis, assign the right to receive monies hereunder.</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Entire Agreement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This document supersedes all prior verbal or written understandings between the parties regarding the subject matter hereof</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Amendment</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No amendment valid unless signed in writing by both parties</w:t>
            </w:r>
          </w:p>
        </w:tc>
      </w:tr>
      <w:tr>
        <w:tc>
          <w:tcPr>
            <w:tcW w:type="dxa" w:w="3600"/>
            <w:tcBorders>
              <w:top w:val="single" w:color="C8BFA8" w:sz="1"/>
              <w:left w:val="single" w:color="C8BFA8" w:sz="1"/>
              <w:bottom w:val="single" w:color="C8BFA8" w:sz="1"/>
              <w:right w:val="single" w:color="C8BFA8" w:sz="1"/>
            </w:tcBorders>
            <w:shd w:fill="F5F2EC" w:val="clear"/>
            <w:tcMar>
              <w:top w:type="dxa" w:w="80"/>
              <w:left w:type="dxa" w:w="160"/>
              <w:bottom w:type="dxa" w:w="80"/>
              <w:right w:type="dxa" w:w="160"/>
            </w:tcMar>
          </w:tcPr>
          <w:p>
            <w:r>
              <w:rPr>
                <w:rFonts w:ascii="Georgia" w:cs="Georgia" w:eastAsia="Georgia" w:hAnsi="Georgia"/>
                <w:b w:val="false"/>
                <w:bCs w:val="false"/>
                <w:i/>
                <w:iCs/>
                <w:color w:val="7A7068"/>
                <w:sz w:val="20"/>
                <w:szCs w:val="20"/>
              </w:rPr>
              <w:t xml:space="preserve">Counterparts</w:t>
            </w:r>
          </w:p>
        </w:tc>
        <w:tc>
          <w:tcPr>
            <w:tcW w:type="dxa" w:w="5760"/>
            <w:tcBorders>
              <w:top w:val="single" w:color="C8BFA8" w:sz="1"/>
              <w:left w:val="single" w:color="C8BFA8" w:sz="1"/>
              <w:bottom w:val="single" w:color="C8BFA8" w:sz="1"/>
              <w:right w:val="single" w:color="C8BFA8" w:sz="1"/>
            </w:tcBorders>
            <w:shd w:fill="FDFAF5" w:val="clear"/>
            <w:tcMar>
              <w:top w:type="dxa" w:w="80"/>
              <w:left w:type="dxa" w:w="160"/>
              <w:bottom w:type="dxa" w:w="80"/>
              <w:right w:type="dxa" w:w="160"/>
            </w:tcMar>
          </w:tcPr>
          <w:p>
            <w:r>
              <w:rPr>
                <w:rFonts w:ascii="Georgia" w:cs="Georgia" w:eastAsia="Georgia" w:hAnsi="Georgia"/>
                <w:color w:val="1C1814"/>
                <w:sz w:val="20"/>
                <w:szCs w:val="20"/>
              </w:rPr>
              <w:t xml:space="preserve">May be executed in counterparts — signatures by facsimile or email have the same effect as originals</w:t>
            </w:r>
          </w:p>
        </w:tc>
      </w:tr>
    </w:tbl>
    <w:p>
      <w:pPr>
        <w:spacing w:after="0" w:before="400"/>
      </w:pPr>
      <w:r>
        <w:t xml:space="preserve"/>
      </w:r>
    </w:p>
    <w:p>
      <w:pPr>
        <w:pBdr>
          <w:bottom w:val="single" w:color="A8852A" w:sz="8" w:space="4"/>
        </w:pBdr>
        <w:spacing w:after="160" w:before="400"/>
      </w:pPr>
      <w:r>
        <w:rPr>
          <w:rFonts w:ascii="Georgia" w:cs="Georgia" w:eastAsia="Georgia" w:hAnsi="Georgia"/>
          <w:b w:val="false"/>
          <w:bCs w:val="false"/>
          <w:i/>
          <w:iCs/>
          <w:color w:val="1C1814"/>
          <w:sz w:val="28"/>
          <w:szCs w:val="28"/>
        </w:rPr>
        <w:t xml:space="preserve">XII.  Signatures</w:t>
      </w:r>
    </w:p>
    <w:p>
      <w:pPr>
        <w:spacing w:after="0" w:before="120"/>
      </w:pPr>
      <w:r>
        <w:t xml:space="preserve"/>
      </w:r>
    </w:p>
    <w:p>
      <w:pPr>
        <w:spacing w:after="60" w:before="60"/>
      </w:pPr>
      <w:r>
        <w:rPr>
          <w:rFonts w:ascii="Georgia" w:cs="Georgia" w:eastAsia="Georgia" w:hAnsi="Georgia"/>
          <w:b w:val="false"/>
          <w:bCs w:val="false"/>
          <w:i/>
          <w:iCs/>
          <w:color w:val="1C1814"/>
          <w:sz w:val="22"/>
          <w:szCs w:val="22"/>
        </w:rPr>
        <w:t xml:space="preserve">By signing below, both parties agree to the terms set forth in this Host Agreement.</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c>
          <w:tcPr>
            <w:tcW w:type="dxa" w:w="4500"/>
            <w:tcBorders>
              <w:top w:val="none" w:color="FFFFFF" w:sz="0"/>
              <w:left w:val="none" w:color="FFFFFF" w:sz="0"/>
              <w:bottom w:val="none" w:color="FFFFFF" w:sz="0"/>
              <w:right w:val="none" w:color="FFFFFF" w:sz="0"/>
            </w:tcBorders>
            <w:tcMar>
              <w:top w:type="dxa" w:w="0"/>
              <w:left w:type="dxa" w:w="0"/>
              <w:bottom w:type="dxa" w:w="0"/>
              <w:right w:type="dxa" w:w="400"/>
            </w:tcMar>
          </w:tcPr>
          <w:p>
            <w:pPr>
              <w:pBdr>
                <w:bottom w:val="single" w:color="1C1814" w:sz="4" w:space="2"/>
              </w:pBdr>
              <w:spacing w:after="60" w:before="240"/>
            </w:pPr>
            <w:r>
              <w:t xml:space="preserve"/>
            </w:r>
          </w:p>
          <w:p>
            <w:pPr>
              <w:spacing w:after="180" w:before="60"/>
            </w:pPr>
            <w:r>
              <w:rPr>
                <w:rFonts w:ascii="Georgia" w:cs="Georgia" w:eastAsia="Georgia" w:hAnsi="Georgia"/>
                <w:i/>
                <w:iCs/>
                <w:color w:val="7A7068"/>
                <w:sz w:val="18"/>
                <w:szCs w:val="18"/>
              </w:rPr>
              <w:t xml:space="preserve">Raul Abarca  —  Executive Producer</w:t>
            </w:r>
          </w:p>
          <w:p>
            <w:pPr>
              <w:pBdr>
                <w:bottom w:val="single" w:color="1C1814" w:sz="4" w:space="2"/>
              </w:pBdr>
              <w:spacing w:after="60" w:before="240"/>
            </w:pPr>
            <w:r>
              <w:t xml:space="preserve"/>
            </w:r>
          </w:p>
          <w:p>
            <w:pPr>
              <w:spacing w:after="180" w:before="60"/>
            </w:pPr>
            <w:r>
              <w:rPr>
                <w:rFonts w:ascii="Georgia" w:cs="Georgia" w:eastAsia="Georgia" w:hAnsi="Georgia"/>
                <w:i/>
                <w:iCs/>
                <w:color w:val="7A7068"/>
                <w:sz w:val="18"/>
                <w:szCs w:val="18"/>
              </w:rPr>
              <w:t xml:space="preserve">Abarca Entertainment LLC</w:t>
            </w:r>
          </w:p>
          <w:p>
            <w:pPr>
              <w:pBdr>
                <w:bottom w:val="single" w:color="1C1814" w:sz="4" w:space="2"/>
              </w:pBdr>
              <w:spacing w:after="60" w:before="240"/>
            </w:pPr>
            <w:r>
              <w:t xml:space="preserve"/>
            </w:r>
          </w:p>
          <w:p>
            <w:pPr>
              <w:spacing w:after="180" w:before="60"/>
            </w:pPr>
            <w:r>
              <w:rPr>
                <w:rFonts w:ascii="Georgia" w:cs="Georgia" w:eastAsia="Georgia" w:hAnsi="Georgia"/>
                <w:i/>
                <w:iCs/>
                <w:color w:val="7A7068"/>
                <w:sz w:val="18"/>
                <w:szCs w:val="18"/>
              </w:rPr>
              <w:t xml:space="preserve">Date</w:t>
            </w:r>
          </w:p>
        </w:tc>
        <w:tc>
          <w:tcPr>
            <w:tcW w:type="dxa" w:w="4860"/>
            <w:tcBorders>
              <w:top w:val="none" w:color="FFFFFF" w:sz="0"/>
              <w:left w:val="none" w:color="FFFFFF" w:sz="0"/>
              <w:bottom w:val="none" w:color="FFFFFF" w:sz="0"/>
              <w:right w:val="none" w:color="FFFFFF" w:sz="0"/>
            </w:tcBorders>
            <w:tcMar>
              <w:top w:type="dxa" w:w="0"/>
              <w:left w:type="dxa" w:w="400"/>
              <w:bottom w:type="dxa" w:w="0"/>
              <w:right w:type="dxa" w:w="0"/>
            </w:tcMar>
          </w:tcPr>
          <w:p>
            <w:pPr>
              <w:pBdr>
                <w:bottom w:val="single" w:color="1C1814" w:sz="4" w:space="2"/>
              </w:pBdr>
              <w:spacing w:after="60" w:before="240"/>
            </w:pPr>
            <w:r>
              <w:t xml:space="preserve"/>
            </w:r>
          </w:p>
          <w:p>
            <w:pPr>
              <w:spacing w:after="180" w:before="60"/>
            </w:pPr>
            <w:r>
              <w:rPr>
                <w:rFonts w:ascii="Georgia" w:cs="Georgia" w:eastAsia="Georgia" w:hAnsi="Georgia"/>
                <w:i/>
                <w:iCs/>
                <w:color w:val="7A7068"/>
                <w:sz w:val="18"/>
                <w:szCs w:val="18"/>
              </w:rPr>
              <w:t xml:space="preserve">Jennifer Coffey  —  Host</w:t>
            </w:r>
          </w:p>
          <w:p>
            <w:pPr>
              <w:pBdr>
                <w:bottom w:val="single" w:color="1C1814" w:sz="4" w:space="2"/>
              </w:pBdr>
              <w:spacing w:after="60" w:before="240"/>
            </w:pPr>
            <w:r>
              <w:t xml:space="preserve"/>
            </w:r>
          </w:p>
          <w:p>
            <w:pPr>
              <w:spacing w:after="180" w:before="60"/>
            </w:pPr>
            <w:r>
              <w:rPr>
                <w:rFonts w:ascii="Georgia" w:cs="Georgia" w:eastAsia="Georgia" w:hAnsi="Georgia"/>
                <w:i/>
                <w:iCs/>
                <w:color w:val="7A7068"/>
                <w:sz w:val="18"/>
                <w:szCs w:val="18"/>
              </w:rPr>
              <w:t xml:space="preserve">Representative  —  To Be Designated</w:t>
            </w:r>
          </w:p>
          <w:p>
            <w:pPr>
              <w:pBdr>
                <w:bottom w:val="single" w:color="1C1814" w:sz="4" w:space="2"/>
              </w:pBdr>
              <w:spacing w:after="60" w:before="240"/>
            </w:pPr>
            <w:r>
              <w:t xml:space="preserve"/>
            </w:r>
          </w:p>
          <w:p>
            <w:pPr>
              <w:spacing w:after="180" w:before="60"/>
            </w:pPr>
            <w:r>
              <w:rPr>
                <w:rFonts w:ascii="Georgia" w:cs="Georgia" w:eastAsia="Georgia" w:hAnsi="Georgia"/>
                <w:i/>
                <w:iCs/>
                <w:color w:val="7A7068"/>
                <w:sz w:val="18"/>
                <w:szCs w:val="18"/>
              </w:rPr>
              <w:t xml:space="preserve">Date</w:t>
            </w:r>
          </w:p>
        </w:tc>
      </w:tr>
    </w:tbl>
    <w:p>
      <w:pPr>
        <w:spacing w:after="0" w:before="300"/>
      </w:pPr>
      <w:r>
        <w:t xml:space="preserve"/>
      </w:r>
    </w:p>
    <w:p>
      <w:pPr>
        <w:spacing w:before="60"/>
        <w:jc w:val="center"/>
      </w:pPr>
      <w:r>
        <w:rPr>
          <w:rFonts w:ascii="Georgia" w:cs="Georgia" w:eastAsia="Georgia" w:hAnsi="Georgia"/>
          <w:i/>
          <w:iCs/>
          <w:color w:val="7A7068"/>
          <w:sz w:val="16"/>
          <w:szCs w:val="16"/>
        </w:rPr>
        <w:t xml:space="preserve">abarcafilms.com  ·  raul@raulabarca.com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BFA8" w:sz="2" w:space="4"/>
      </w:pBdr>
      <w:spacing w:before="80"/>
    </w:pPr>
    <w:r>
      <w:rPr>
        <w:rFonts w:ascii="Georgia" w:cs="Georgia" w:eastAsia="Georgia" w:hAnsi="Georgia"/>
        <w:i/>
        <w:iCs/>
        <w:color w:val="7A7068"/>
        <w:sz w:val="16"/>
        <w:szCs w:val="16"/>
      </w:rPr>
      <w:t xml:space="preserve">Abarca Entertainment LLC  ·  abarcafilms.com  ·  raul@raulabarca.com  |  Page </w:t>
    </w:r>
    <w:fldSimple w:instr="PAGE">
      <w:r>
        <w:rPr>
          <w:rFonts w:ascii="Georgia" w:cs="Georgia" w:eastAsia="Georgia" w:hAnsi="Georgia"/>
          <w:color w:val="7A7068"/>
          <w:sz w:val="16"/>
          <w:szCs w:val="16"/>
        </w:rPr>
      </w:r>
    </w:fldSimple>
    <w:r>
      <w:rPr>
        <w:rFonts w:ascii="Georgia" w:cs="Georgia" w:eastAsia="Georgia" w:hAnsi="Georgia"/>
        <w:i/>
        <w:iCs/>
        <w:color w:val="7A7068"/>
        <w:sz w:val="16"/>
        <w:szCs w:val="16"/>
      </w:rPr>
      <w:t xml:space="preserve"> of </w:t>
    </w:r>
    <w:fldSimple w:instr="NUMPAGES">
      <w:r>
        <w:rPr>
          <w:rFonts w:ascii="Georgia" w:cs="Georgia" w:eastAsia="Georgia" w:hAnsi="Georgia"/>
          <w:color w:val="7A7068"/>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8852A" w:sz="4" w:space="4"/>
      </w:pBdr>
      <w:spacing w:after="80"/>
    </w:pPr>
    <w:r>
      <w:rPr>
        <w:rFonts w:ascii="Georgia" w:cs="Georgia" w:eastAsia="Georgia" w:hAnsi="Georgia"/>
        <w:i/>
        <w:iCs/>
        <w:color w:val="A8852A"/>
        <w:sz w:val="16"/>
        <w:szCs w:val="16"/>
      </w:rPr>
      <w:t xml:space="preserve">ABARCA ENTERTAINMENT LLC</w:t>
    </w:r>
    <w:r>
      <w:rPr>
        <w:rFonts w:ascii="Georgia" w:cs="Georgia" w:eastAsia="Georgia" w:hAnsi="Georgia"/>
        <w:i/>
        <w:iCs/>
        <w:color w:val="7A7068"/>
        <w:sz w:val="16"/>
        <w:szCs w:val="16"/>
      </w:rPr>
      <w:t xml:space="preserve">  —  Host Agreement  |  Jennifer Coffey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2026-06-03T20:13:02.216Z</dcterms:created>
  <dcterms:modified xsi:type="dcterms:W3CDTF">2026-06-03T20:13:02.230Z</dcterms:modified>
</cp:coreProperties>
</file>

<file path=docProps/custom.xml><?xml version="1.0" encoding="utf-8"?>
<Properties xmlns="http://schemas.openxmlformats.org/officeDocument/2006/custom-properties" xmlns:vt="http://schemas.openxmlformats.org/officeDocument/2006/docPropsVTypes"/>
</file>